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10" w:rightChars="100" w:firstLine="0" w:firstLineChars="0"/>
        <w:jc w:val="center"/>
        <w:outlineLvl w:val="0"/>
        <w:rPr>
          <w:rFonts w:ascii="宋体" w:hAnsi="宋体" w:cs="宋体"/>
          <w:color w:val="auto"/>
          <w:kern w:val="0"/>
          <w:sz w:val="32"/>
          <w:szCs w:val="32"/>
          <w:highlight w:val="none"/>
        </w:rPr>
      </w:pPr>
      <w:bookmarkStart w:id="0" w:name="_Toc55576984"/>
      <w:bookmarkStart w:id="1" w:name="_Toc18305"/>
      <w:bookmarkStart w:id="2" w:name="_Toc46273945"/>
      <w:bookmarkStart w:id="3" w:name="_Toc46274261"/>
      <w:bookmarkStart w:id="4" w:name="OLE_LINK5"/>
      <w:bookmarkStart w:id="5" w:name="OLE_LINK1"/>
      <w:r>
        <w:rPr>
          <w:rFonts w:hint="eastAsia" w:ascii="宋体" w:hAnsi="宋体" w:cs="宋体"/>
          <w:color w:val="auto"/>
          <w:kern w:val="0"/>
          <w:sz w:val="32"/>
          <w:szCs w:val="32"/>
          <w:highlight w:val="none"/>
        </w:rPr>
        <w:t xml:space="preserve">招 募 </w:t>
      </w:r>
      <w:bookmarkEnd w:id="0"/>
      <w:bookmarkEnd w:id="1"/>
      <w:r>
        <w:rPr>
          <w:rFonts w:hint="eastAsia" w:ascii="宋体" w:hAnsi="宋体" w:cs="宋体"/>
          <w:color w:val="auto"/>
          <w:kern w:val="0"/>
          <w:sz w:val="32"/>
          <w:szCs w:val="32"/>
          <w:highlight w:val="none"/>
        </w:rPr>
        <w:t>公 告</w:t>
      </w:r>
    </w:p>
    <w:bookmarkEnd w:id="2"/>
    <w:bookmarkEnd w:id="3"/>
    <w:p>
      <w:pPr>
        <w:spacing w:line="360" w:lineRule="auto"/>
        <w:ind w:right="210" w:rightChars="100" w:firstLine="420" w:firstLineChars="200"/>
        <w:rPr>
          <w:rFonts w:ascii="宋体" w:hAnsi="宋体" w:cs="宋体"/>
          <w:color w:val="auto"/>
          <w:kern w:val="0"/>
          <w:highlight w:val="none"/>
        </w:rPr>
      </w:pPr>
      <w:bookmarkStart w:id="6" w:name="_Toc46273947"/>
      <w:bookmarkStart w:id="7" w:name="_Toc35393621"/>
      <w:bookmarkStart w:id="8" w:name="_Toc35393790"/>
      <w:bookmarkStart w:id="9" w:name="_Toc28359079"/>
      <w:bookmarkStart w:id="10" w:name="_Toc55576987"/>
      <w:bookmarkStart w:id="11" w:name="_Toc46274263"/>
      <w:bookmarkStart w:id="12" w:name="_Toc28359002"/>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常州市城市照明工程有限公司2024轮次电缆类供应商初步筛选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rPr>
        <w:t>电缆类</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pPr>
        <w:spacing w:line="360" w:lineRule="auto"/>
        <w:ind w:right="210" w:rightChars="100" w:firstLine="420" w:firstLineChars="200"/>
        <w:rPr>
          <w:rFonts w:ascii="宋体" w:hAnsi="宋体" w:cs="宋体"/>
          <w:bCs/>
          <w:color w:val="auto"/>
          <w:spacing w:val="2"/>
          <w:highlight w:val="none"/>
        </w:rPr>
      </w:pPr>
      <w:bookmarkStart w:id="15" w:name="_Toc55576988"/>
      <w:bookmarkStart w:id="16" w:name="_Toc46273948"/>
      <w:bookmarkStart w:id="17" w:name="_Toc46274264"/>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照明集采2024001</w:t>
      </w:r>
      <w:bookmarkStart w:id="18" w:name="_Toc46274265"/>
      <w:bookmarkStart w:id="19" w:name="_Toc55576989"/>
      <w:bookmarkStart w:id="20" w:name="_Toc46273949"/>
    </w:p>
    <w:p>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4266"/>
      <w:bookmarkStart w:id="22" w:name="_Toc46273950"/>
      <w:r>
        <w:rPr>
          <w:rFonts w:hint="eastAsia" w:ascii="宋体" w:hAnsi="宋体" w:cs="宋体"/>
          <w:bCs/>
          <w:color w:val="auto"/>
          <w:spacing w:val="2"/>
          <w:highlight w:val="none"/>
        </w:rPr>
        <w:t>常州市城市照明工程有限公司2024轮次电缆类供应商初筛</w:t>
      </w:r>
    </w:p>
    <w:bookmarkEnd w:id="21"/>
    <w:bookmarkEnd w:id="22"/>
    <w:p>
      <w:pPr>
        <w:spacing w:line="360" w:lineRule="auto"/>
        <w:ind w:right="210" w:rightChars="100" w:firstLine="420" w:firstLineChars="200"/>
        <w:rPr>
          <w:rFonts w:ascii="宋体" w:hAnsi="宋体" w:cs="宋体"/>
          <w:color w:val="auto"/>
          <w:kern w:val="0"/>
          <w:highlight w:val="none"/>
        </w:rPr>
      </w:pPr>
      <w:bookmarkStart w:id="23" w:name="_Toc46274268"/>
      <w:bookmarkStart w:id="24" w:name="_Toc46273952"/>
      <w:r>
        <w:rPr>
          <w:rFonts w:hint="eastAsia" w:ascii="宋体" w:hAnsi="宋体" w:cs="宋体"/>
          <w:bCs/>
          <w:color w:val="auto"/>
          <w:highlight w:val="none"/>
        </w:rPr>
        <w:t>招募范围：</w:t>
      </w:r>
      <w:bookmarkEnd w:id="23"/>
      <w:bookmarkEnd w:id="24"/>
      <w:bookmarkStart w:id="25" w:name="_Toc46273953"/>
      <w:bookmarkStart w:id="26" w:name="_Toc46274269"/>
      <w:r>
        <w:rPr>
          <w:rFonts w:hint="eastAsia" w:ascii="宋体" w:hAnsi="宋体" w:cs="宋体"/>
          <w:bCs/>
          <w:color w:val="auto"/>
          <w:highlight w:val="none"/>
        </w:rPr>
        <w:t>招募人所需电缆</w:t>
      </w:r>
      <w:r>
        <w:rPr>
          <w:rFonts w:hint="eastAsia" w:ascii="宋体" w:cs="Calibri"/>
          <w:color w:val="auto"/>
          <w:highlight w:val="none"/>
        </w:rPr>
        <w:t>生产前或采购准备、生产、包装、运输、装卸、检测、质保期、与货物有关的特殊要求等可能产生的所有内容。</w:t>
      </w:r>
      <w:bookmarkEnd w:id="25"/>
      <w:bookmarkEnd w:id="26"/>
    </w:p>
    <w:p>
      <w:pPr>
        <w:spacing w:line="360" w:lineRule="auto"/>
        <w:ind w:right="210" w:rightChars="100" w:firstLine="420" w:firstLineChars="200"/>
        <w:rPr>
          <w:rFonts w:ascii="宋体" w:hAnsi="宋体" w:cs="宋体"/>
          <w:color w:val="auto"/>
          <w:kern w:val="0"/>
          <w:highlight w:val="none"/>
        </w:rPr>
      </w:pPr>
      <w:bookmarkStart w:id="27" w:name="_Toc46273957"/>
      <w:bookmarkStart w:id="28" w:name="_Toc46274273"/>
      <w:bookmarkStart w:id="29" w:name="_Toc28359080"/>
      <w:bookmarkStart w:id="30" w:name="_Toc35393622"/>
      <w:bookmarkStart w:id="31" w:name="_Toc35393791"/>
      <w:bookmarkStart w:id="32" w:name="_Toc55576993"/>
      <w:bookmarkStart w:id="33" w:name="_Toc28359003"/>
      <w:r>
        <w:rPr>
          <w:rFonts w:hint="eastAsia" w:ascii="宋体" w:hAnsi="宋体" w:cs="宋体"/>
          <w:color w:val="auto"/>
          <w:kern w:val="0"/>
          <w:highlight w:val="none"/>
        </w:rPr>
        <w:t>质量要求：合格，应符合现行国家标准、规范、强制产品认证等要求。</w:t>
      </w:r>
    </w:p>
    <w:p>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7"/>
      <w:bookmarkEnd w:id="28"/>
      <w:bookmarkEnd w:id="29"/>
      <w:bookmarkEnd w:id="30"/>
      <w:bookmarkEnd w:id="31"/>
      <w:bookmarkEnd w:id="32"/>
      <w:bookmarkEnd w:id="33"/>
    </w:p>
    <w:p>
      <w:pPr>
        <w:spacing w:line="360" w:lineRule="auto"/>
        <w:ind w:right="210" w:rightChars="100" w:firstLine="420" w:firstLineChars="200"/>
        <w:rPr>
          <w:rFonts w:ascii="宋体" w:hAnsi="宋体" w:cs="宋体"/>
          <w:color w:val="auto"/>
          <w:highlight w:val="none"/>
        </w:rPr>
      </w:pPr>
      <w:bookmarkStart w:id="34" w:name="_Toc46273965"/>
      <w:bookmarkStart w:id="35" w:name="_Toc28359081"/>
      <w:bookmarkStart w:id="36" w:name="_Toc35393792"/>
      <w:bookmarkStart w:id="37" w:name="_Toc28359004"/>
      <w:bookmarkStart w:id="38" w:name="_Toc35393623"/>
      <w:bookmarkStart w:id="39" w:name="_Toc46274281"/>
      <w:bookmarkStart w:id="40" w:name="_Toc55577007"/>
      <w:r>
        <w:rPr>
          <w:rFonts w:hint="eastAsia" w:ascii="宋体" w:hAnsi="宋体" w:cs="宋体"/>
          <w:color w:val="auto"/>
          <w:highlight w:val="none"/>
        </w:rPr>
        <w:t>1.须是中华人民共和国注册的企业并具有独立法人资格，具备有效的法人营业执照。</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pPr>
        <w:spacing w:line="360" w:lineRule="auto"/>
        <w:ind w:right="210" w:rightChars="100" w:firstLine="422" w:firstLineChars="200"/>
        <w:rPr>
          <w:rFonts w:ascii="宋体" w:hAnsi="宋体" w:cs="宋体"/>
          <w:color w:val="auto"/>
          <w:highlight w:val="none"/>
        </w:rPr>
      </w:pPr>
      <w:r>
        <w:rPr>
          <w:rFonts w:ascii="宋体" w:hAnsi="宋体" w:cs="宋体"/>
          <w:b/>
          <w:bCs/>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pPr>
        <w:spacing w:line="360" w:lineRule="auto"/>
        <w:ind w:right="210" w:rightChars="100" w:firstLine="422" w:firstLineChars="200"/>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4.须</w:t>
      </w:r>
      <w:r>
        <w:rPr>
          <w:rFonts w:hint="eastAsia" w:ascii="宋体" w:hAnsi="宋体" w:cs="宋体"/>
          <w:b/>
          <w:bCs/>
          <w:color w:val="auto"/>
          <w:highlight w:val="none"/>
        </w:rPr>
        <w:t>提供</w:t>
      </w:r>
      <w:r>
        <w:rPr>
          <w:rFonts w:hint="eastAsia" w:ascii="宋体" w:hAnsi="宋体" w:cs="宋体"/>
          <w:b/>
          <w:bCs/>
          <w:color w:val="auto"/>
          <w:highlight w:val="none"/>
          <w:lang w:val="en-US" w:eastAsia="zh-CN"/>
        </w:rPr>
        <w:t>所投品牌生产厂家的</w:t>
      </w:r>
      <w:r>
        <w:rPr>
          <w:rFonts w:hint="eastAsia" w:ascii="宋体" w:hAnsi="宋体" w:cs="宋体"/>
          <w:b/>
          <w:bCs/>
          <w:color w:val="auto"/>
          <w:highlight w:val="none"/>
        </w:rPr>
        <w:t>市场监督管理局颁发的电线电缆生产许可证及许可证附件</w:t>
      </w:r>
      <w:r>
        <w:rPr>
          <w:rFonts w:hint="eastAsia" w:ascii="宋体" w:hAnsi="宋体" w:cs="宋体"/>
          <w:b/>
          <w:bCs/>
          <w:color w:val="auto"/>
          <w:highlight w:val="none"/>
          <w:lang w:eastAsia="zh-CN"/>
        </w:rPr>
        <w:t>。</w:t>
      </w:r>
    </w:p>
    <w:p>
      <w:pPr>
        <w:spacing w:line="360" w:lineRule="auto"/>
        <w:ind w:right="210" w:rightChars="100" w:firstLine="422" w:firstLineChars="200"/>
        <w:rPr>
          <w:rFonts w:ascii="宋体" w:hAnsi="宋体" w:cs="宋体"/>
          <w:color w:val="auto"/>
          <w:highlight w:val="none"/>
        </w:rPr>
      </w:pPr>
      <w:r>
        <w:rPr>
          <w:rFonts w:hint="eastAsia" w:ascii="宋体" w:hAnsi="宋体" w:cs="宋体"/>
          <w:b/>
          <w:bCs/>
          <w:color w:val="auto"/>
          <w:highlight w:val="none"/>
          <w:lang w:val="en-US" w:eastAsia="zh-CN"/>
        </w:rPr>
        <w:t>5</w:t>
      </w:r>
      <w:r>
        <w:rPr>
          <w:rFonts w:hint="eastAsia" w:ascii="宋体" w:hAnsi="宋体" w:cs="宋体"/>
          <w:b/>
          <w:bCs/>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rPr>
        <w:t>1年1月1日起至获取招募公告截止之日）"中国裁判文书网"官方网站（http://wenshu.court.gov.cn）无行贿犯罪记录。如有行贿犯罪记录，不得参与本项目。（提供承诺书）</w:t>
      </w:r>
    </w:p>
    <w:p>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6</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.供应商在国家企业信用信息公示系统（http://www.gsxt.gov.cn/）中未被列入企业严重违法失信企业名单及企业经营异常名录。（提供承诺书）</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.与招募人存在利害关系可能影响招募公正性的供应商，不得参加本项目。</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10</w:t>
      </w:r>
      <w:r>
        <w:rPr>
          <w:rFonts w:ascii="宋体" w:hAnsi="宋体" w:cs="宋体"/>
          <w:color w:val="auto"/>
          <w:highlight w:val="none"/>
        </w:rPr>
        <w:t>.</w:t>
      </w:r>
      <w:r>
        <w:rPr>
          <w:rFonts w:hint="eastAsia" w:ascii="宋体" w:hAnsi="宋体" w:cs="宋体"/>
          <w:color w:val="auto"/>
          <w:highlight w:val="none"/>
        </w:rPr>
        <w:t>本项目不接受联合体参与。</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w:t>
      </w:r>
      <w:r>
        <w:rPr>
          <w:rFonts w:hint="eastAsia" w:ascii="宋体" w:hAnsi="宋体" w:cs="宋体"/>
          <w:color w:val="auto"/>
          <w:highlight w:val="none"/>
        </w:rPr>
        <w:t>特定资格要求：</w:t>
      </w:r>
    </w:p>
    <w:p>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1）供应商2023</w:t>
      </w:r>
      <w:r>
        <w:rPr>
          <w:rFonts w:hint="eastAsia" w:ascii="宋体" w:hAnsi="宋体" w:cs="宋体"/>
          <w:color w:val="auto"/>
          <w:kern w:val="2"/>
          <w:highlight w:val="none"/>
        </w:rPr>
        <w:t>年度的年营业额不少于</w:t>
      </w:r>
      <w:r>
        <w:rPr>
          <w:rFonts w:hint="eastAsia" w:ascii="宋体" w:hAnsi="宋体" w:cs="宋体"/>
          <w:color w:val="auto"/>
          <w:kern w:val="2"/>
          <w:highlight w:val="none"/>
          <w:lang w:val="en-US" w:eastAsia="zh-CN"/>
        </w:rPr>
        <w:t>1000</w:t>
      </w:r>
      <w:r>
        <w:rPr>
          <w:rFonts w:hint="eastAsia" w:ascii="宋体" w:hAnsi="宋体" w:cs="宋体"/>
          <w:color w:val="auto"/>
          <w:kern w:val="2"/>
          <w:highlight w:val="none"/>
        </w:rPr>
        <w:t>万元（含）人民币（提供上述时限内经审计的完整的财务审计报告复印件加盖公章）；</w:t>
      </w:r>
    </w:p>
    <w:p>
      <w:pPr>
        <w:spacing w:line="360" w:lineRule="auto"/>
        <w:ind w:right="210" w:rightChars="100" w:firstLine="420" w:firstLineChars="200"/>
        <w:rPr>
          <w:rFonts w:hint="eastAsia" w:ascii="宋体" w:hAnsi="宋体" w:cs="宋体"/>
          <w:b w:val="0"/>
          <w:bCs w:val="0"/>
          <w:color w:val="auto"/>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rPr>
        <w:t>）</w:t>
      </w:r>
      <w:r>
        <w:rPr>
          <w:rFonts w:hint="eastAsia" w:ascii="宋体" w:hAnsi="宋体" w:cs="宋体"/>
          <w:b w:val="0"/>
          <w:bCs w:val="0"/>
          <w:color w:val="auto"/>
          <w:highlight w:val="none"/>
        </w:rPr>
        <w:t>供应商为投标品牌</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或其直接授权的代理商（如为代理商，必须同时提供制造商针对本项目的授权书原件，且一个</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只能授权一个代理商参加本项目报名）。</w:t>
      </w:r>
    </w:p>
    <w:p>
      <w:pPr>
        <w:spacing w:line="360" w:lineRule="auto"/>
        <w:ind w:right="210" w:rightChars="100" w:firstLine="420" w:firstLineChars="200"/>
        <w:jc w:val="left"/>
        <w:outlineLvl w:val="9"/>
        <w:rPr>
          <w:rFonts w:ascii="宋体" w:hAnsi="宋体" w:cs="宋体"/>
          <w:color w:val="auto"/>
          <w:kern w:val="0"/>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3）生产厂商</w:t>
      </w:r>
      <w:r>
        <w:rPr>
          <w:rFonts w:hint="eastAsia" w:ascii="宋体" w:hAnsi="宋体" w:cs="宋体"/>
          <w:b w:val="0"/>
          <w:bCs w:val="0"/>
          <w:color w:val="auto"/>
          <w:highlight w:val="none"/>
        </w:rPr>
        <w:t>若授权代理商参与</w:t>
      </w:r>
      <w:r>
        <w:rPr>
          <w:rFonts w:hint="eastAsia" w:ascii="宋体" w:hAnsi="宋体" w:cs="宋体"/>
          <w:b w:val="0"/>
          <w:bCs w:val="0"/>
          <w:color w:val="auto"/>
          <w:highlight w:val="none"/>
          <w:lang w:val="en-US" w:eastAsia="zh-CN"/>
        </w:rPr>
        <w:t>本次初筛的</w:t>
      </w:r>
      <w:r>
        <w:rPr>
          <w:rFonts w:hint="eastAsia" w:ascii="宋体" w:hAnsi="宋体" w:cs="宋体"/>
          <w:b w:val="0"/>
          <w:bCs w:val="0"/>
          <w:color w:val="auto"/>
          <w:highlight w:val="none"/>
        </w:rPr>
        <w:t>，则</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不得参与</w:t>
      </w:r>
      <w:r>
        <w:rPr>
          <w:rFonts w:hint="eastAsia" w:ascii="宋体" w:hAnsi="宋体" w:cs="宋体"/>
          <w:b w:val="0"/>
          <w:bCs w:val="0"/>
          <w:color w:val="auto"/>
          <w:highlight w:val="none"/>
          <w:lang w:val="en-US" w:eastAsia="zh-CN"/>
        </w:rPr>
        <w:t>本次初筛</w:t>
      </w:r>
      <w:r>
        <w:rPr>
          <w:rFonts w:hint="eastAsia" w:ascii="宋体" w:hAnsi="宋体" w:cs="宋体"/>
          <w:b w:val="0"/>
          <w:bCs w:val="0"/>
          <w:color w:val="auto"/>
          <w:highlight w:val="none"/>
        </w:rPr>
        <w:t>。</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（2）有效期内的营业执照，经营范围含本次</w:t>
      </w:r>
      <w:r>
        <w:rPr>
          <w:rFonts w:hint="eastAsia" w:ascii="宋体" w:hAnsi="宋体" w:cs="宋体"/>
          <w:b/>
          <w:bCs/>
          <w:color w:val="auto"/>
          <w:spacing w:val="0"/>
          <w:highlight w:val="none"/>
        </w:rPr>
        <w:t>初筛</w:t>
      </w:r>
      <w:r>
        <w:rPr>
          <w:rFonts w:hint="eastAsia" w:ascii="宋体" w:hAnsi="宋体" w:cs="宋体"/>
          <w:b/>
          <w:bCs/>
          <w:color w:val="auto"/>
          <w:highlight w:val="none"/>
        </w:rPr>
        <w:t>相关内容；</w:t>
      </w:r>
    </w:p>
    <w:p>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41" w:name="_Toc55577017"/>
      <w:bookmarkStart w:id="42" w:name="_Toc46274291"/>
      <w:bookmarkStart w:id="43" w:name="_Toc46273975"/>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41"/>
      <w:bookmarkEnd w:id="42"/>
      <w:bookmarkEnd w:id="43"/>
      <w:bookmarkStart w:id="44" w:name="_Toc55577018"/>
      <w:bookmarkStart w:id="45" w:name="_Toc46273976"/>
      <w:bookmarkStart w:id="46" w:name="_Toc46274292"/>
    </w:p>
    <w:p>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7</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15</w:t>
      </w:r>
      <w:r>
        <w:rPr>
          <w:rFonts w:ascii="宋体" w:hAnsi="宋体" w:cs="宋体"/>
          <w:bCs/>
          <w:color w:val="auto"/>
          <w:kern w:val="0"/>
          <w:highlight w:val="none"/>
        </w:rPr>
        <w:t>日至</w:t>
      </w: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8</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2</w:t>
      </w:r>
      <w:r>
        <w:rPr>
          <w:rFonts w:ascii="宋体" w:hAnsi="宋体" w:cs="宋体"/>
          <w:bCs/>
          <w:color w:val="auto"/>
          <w:kern w:val="0"/>
          <w:highlight w:val="none"/>
        </w:rPr>
        <w:t>日，每天上午9：00至11：30，下午13：30至17：00（北京时间，周末、法定节假日除外 ）</w:t>
      </w:r>
    </w:p>
    <w:p>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4"/>
      <w:bookmarkEnd w:id="45"/>
      <w:bookmarkEnd w:id="46"/>
    </w:p>
    <w:p>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提前电话预约）</w:t>
      </w:r>
    </w:p>
    <w:p>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（2）以上所有资料资格审查时必须提供有效复印件二份，复印件必须装订成册并加盖公章，申请人必须对其提供的资料的真实性负责。</w:t>
      </w:r>
    </w:p>
    <w:p>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常州市城市照明工程有限公司2024轮次电缆类供应商初步筛选库，具备参与后续正式入围资格。</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4"/>
      <w:bookmarkEnd w:id="35"/>
      <w:bookmarkEnd w:id="36"/>
      <w:bookmarkEnd w:id="37"/>
      <w:bookmarkEnd w:id="38"/>
      <w:bookmarkEnd w:id="39"/>
      <w:bookmarkEnd w:id="40"/>
      <w:bookmarkStart w:id="47" w:name="_Toc35393795"/>
      <w:bookmarkStart w:id="48" w:name="_Toc46274295"/>
      <w:bookmarkStart w:id="49" w:name="_Toc35393626"/>
      <w:bookmarkStart w:id="50" w:name="_Toc55577021"/>
      <w:bookmarkStart w:id="51" w:name="_Toc46273979"/>
      <w:r>
        <w:rPr>
          <w:rFonts w:hint="eastAsia" w:ascii="宋体" w:hAnsi="宋体" w:cs="宋体"/>
          <w:color w:val="auto"/>
          <w:kern w:val="0"/>
          <w:highlight w:val="none"/>
        </w:rPr>
        <w:t>其他补充事宜</w:t>
      </w:r>
      <w:bookmarkEnd w:id="47"/>
      <w:bookmarkEnd w:id="48"/>
      <w:bookmarkEnd w:id="49"/>
      <w:bookmarkEnd w:id="50"/>
      <w:bookmarkEnd w:id="51"/>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址：常州市河海西路428号</w:t>
      </w:r>
    </w:p>
    <w:p>
      <w:pPr>
        <w:spacing w:line="360" w:lineRule="auto"/>
        <w:ind w:right="210" w:rightChars="100" w:firstLine="420" w:firstLineChars="200"/>
        <w:rPr>
          <w:rFonts w:ascii="宋体" w:hAnsi="宋体" w:cs="宋体"/>
          <w:color w:val="auto"/>
          <w:kern w:val="0"/>
          <w:highlight w:val="none"/>
        </w:rPr>
      </w:pPr>
      <w:bookmarkStart w:id="52" w:name="_GoBack"/>
      <w:bookmarkEnd w:id="52"/>
      <w:r>
        <w:rPr>
          <w:rFonts w:hint="eastAsia" w:ascii="宋体" w:hAnsi="宋体" w:cs="宋体"/>
          <w:color w:val="auto"/>
          <w:kern w:val="0"/>
          <w:highlight w:val="none"/>
        </w:rPr>
        <w:t xml:space="preserve">2.招标代理机构信息 </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人： </w:t>
      </w:r>
      <w:r>
        <w:rPr>
          <w:rFonts w:hint="eastAsia" w:ascii="宋体" w:hAnsi="宋体" w:cs="宋体"/>
          <w:color w:val="auto"/>
          <w:kern w:val="0"/>
          <w:highlight w:val="none"/>
          <w:lang w:val="en-US" w:eastAsia="zh-CN"/>
        </w:rPr>
        <w:t>严工</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pPr>
        <w:pStyle w:val="2"/>
        <w:rPr>
          <w:color w:val="auto"/>
          <w:highlight w:val="none"/>
        </w:rPr>
      </w:pPr>
    </w:p>
    <w:p>
      <w:pPr>
        <w:rPr>
          <w:color w:val="auto"/>
          <w:highlight w:val="none"/>
        </w:rPr>
      </w:pPr>
    </w:p>
    <w:p>
      <w:pPr>
        <w:pStyle w:val="2"/>
        <w:rPr>
          <w:color w:val="auto"/>
          <w:highlight w:val="none"/>
        </w:rPr>
      </w:pPr>
    </w:p>
    <w:p>
      <w:pPr>
        <w:rPr>
          <w:color w:val="auto"/>
          <w:highlight w:val="none"/>
        </w:rPr>
      </w:pPr>
    </w:p>
    <w:bookmarkEnd w:id="5"/>
    <w:bookmarkEnd w:id="14"/>
    <w:p>
      <w:pPr>
        <w:rPr>
          <w:color w:val="auto"/>
          <w:highlight w:val="none"/>
        </w:rPr>
      </w:pPr>
      <w:r>
        <w:rPr>
          <w:color w:val="auto"/>
          <w:highlight w:val="none"/>
        </w:rPr>
        <w:br w:type="page"/>
      </w:r>
    </w:p>
    <w:tbl>
      <w:tblPr>
        <w:tblStyle w:val="7"/>
        <w:tblW w:w="9515" w:type="dxa"/>
        <w:jc w:val="center"/>
        <w:tblLayout w:type="fixed"/>
        <w:tblCellMar>
          <w:top w:w="0" w:type="dxa"/>
          <w:left w:w="108" w:type="dxa"/>
          <w:bottom w:w="0" w:type="dxa"/>
          <w:right w:w="108" w:type="dxa"/>
        </w:tblCellMar>
      </w:tblPr>
      <w:tblGrid>
        <w:gridCol w:w="2780"/>
        <w:gridCol w:w="6735"/>
      </w:tblGrid>
      <w:tr>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vAlign w:val="center"/>
          </w:tcPr>
          <w:p>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招募单位</w:t>
            </w:r>
          </w:p>
        </w:tc>
        <w:tc>
          <w:tcPr>
            <w:tcW w:w="6735" w:type="dxa"/>
            <w:tcBorders>
              <w:top w:val="nil"/>
              <w:left w:val="nil"/>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kern w:val="2"/>
                <w:sz w:val="24"/>
                <w:szCs w:val="24"/>
                <w:highlight w:val="none"/>
              </w:rPr>
              <w:t>常州市城市照明工程有限公司</w:t>
            </w:r>
          </w:p>
        </w:tc>
      </w:tr>
      <w:tr>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735" w:type="dxa"/>
            <w:tcBorders>
              <w:top w:val="nil"/>
              <w:left w:val="nil"/>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照明集采2024001　</w:t>
            </w:r>
          </w:p>
        </w:tc>
      </w:tr>
      <w:tr>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735" w:type="dxa"/>
            <w:tcBorders>
              <w:top w:val="nil"/>
              <w:left w:val="nil"/>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bCs w:val="0"/>
                <w:color w:val="auto"/>
                <w:spacing w:val="0"/>
                <w:sz w:val="24"/>
                <w:szCs w:val="24"/>
                <w:highlight w:val="none"/>
              </w:rPr>
              <w:t>常州市城市照明工程有限公司2024轮次电缆类供应商初筛</w:t>
            </w: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742" w:hRule="atLeast"/>
          <w:jc w:val="center"/>
        </w:trPr>
        <w:tc>
          <w:tcPr>
            <w:tcW w:w="9515"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供应商报名情况</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p>
        </w:tc>
        <w:tc>
          <w:tcPr>
            <w:tcW w:w="6735" w:type="dxa"/>
            <w:tcBorders>
              <w:top w:val="nil"/>
              <w:left w:val="nil"/>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735" w:type="dxa"/>
            <w:tcBorders>
              <w:top w:val="nil"/>
              <w:left w:val="nil"/>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拟投品牌</w:t>
            </w:r>
          </w:p>
        </w:tc>
        <w:tc>
          <w:tcPr>
            <w:tcW w:w="6735" w:type="dxa"/>
            <w:tcBorders>
              <w:top w:val="nil"/>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资质名称及等级</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（如有）</w:t>
            </w:r>
          </w:p>
        </w:tc>
        <w:tc>
          <w:tcPr>
            <w:tcW w:w="6735" w:type="dxa"/>
            <w:tcBorders>
              <w:top w:val="nil"/>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6735" w:type="dxa"/>
            <w:tcBorders>
              <w:top w:val="nil"/>
              <w:left w:val="nil"/>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授权委托人</w:t>
            </w:r>
          </w:p>
        </w:tc>
        <w:tc>
          <w:tcPr>
            <w:tcW w:w="6735" w:type="dxa"/>
            <w:tcBorders>
              <w:top w:val="nil"/>
              <w:left w:val="nil"/>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735" w:type="dxa"/>
            <w:tcBorders>
              <w:top w:val="nil"/>
              <w:left w:val="nil"/>
              <w:bottom w:val="single" w:color="auto" w:sz="4" w:space="0"/>
              <w:right w:val="single" w:color="auto" w:sz="4" w:space="0"/>
            </w:tcBorders>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报名时间</w:t>
            </w:r>
          </w:p>
        </w:tc>
        <w:tc>
          <w:tcPr>
            <w:tcW w:w="6735" w:type="dxa"/>
            <w:tcBorders>
              <w:top w:val="nil"/>
              <w:left w:val="nil"/>
              <w:bottom w:val="single" w:color="auto" w:sz="4" w:space="0"/>
              <w:right w:val="single" w:color="auto" w:sz="4" w:space="0"/>
            </w:tcBorders>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报名接受人审查</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意见</w:t>
            </w:r>
          </w:p>
        </w:tc>
        <w:tc>
          <w:tcPr>
            <w:tcW w:w="6735" w:type="dxa"/>
            <w:tcBorders>
              <w:top w:val="nil"/>
              <w:left w:val="nil"/>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xml:space="preserve">             审查人签名：      日期：   </w:t>
            </w:r>
          </w:p>
        </w:tc>
      </w:tr>
      <w:tr>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735" w:type="dxa"/>
            <w:tcBorders>
              <w:top w:val="nil"/>
              <w:left w:val="nil"/>
              <w:bottom w:val="single" w:color="auto" w:sz="4" w:space="0"/>
              <w:right w:val="single" w:color="auto" w:sz="4" w:space="0"/>
            </w:tcBorders>
            <w:vAlign w:val="center"/>
          </w:tcPr>
          <w:p>
            <w:pPr>
              <w:jc w:val="left"/>
              <w:rPr>
                <w:rFonts w:ascii="宋体" w:hAnsi="宋体" w:cs="宋体"/>
                <w:color w:val="auto"/>
                <w:sz w:val="24"/>
                <w:szCs w:val="24"/>
                <w:highlight w:val="none"/>
              </w:rPr>
            </w:pPr>
            <w:r>
              <w:rPr>
                <w:rFonts w:hint="eastAsia" w:ascii="宋体" w:hAnsi="宋体" w:cs="宋体"/>
                <w:color w:val="auto"/>
                <w:sz w:val="24"/>
                <w:szCs w:val="24"/>
                <w:highlight w:val="none"/>
              </w:rPr>
              <w:t>1.供应商应如实填写相关内容。</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2.所有资料应真实有效。</w:t>
            </w:r>
          </w:p>
        </w:tc>
      </w:tr>
    </w:tbl>
    <w:p>
      <w:pPr>
        <w:widowControl/>
        <w:jc w:val="left"/>
        <w:rPr>
          <w:rFonts w:ascii="宋体" w:hAnsi="宋体" w:cs="宋体"/>
          <w:b/>
          <w:color w:val="auto"/>
          <w:sz w:val="28"/>
          <w:szCs w:val="28"/>
          <w:highlight w:val="none"/>
        </w:rPr>
      </w:pPr>
      <w:r>
        <w:rPr>
          <w:b/>
          <w:color w:val="auto"/>
          <w:sz w:val="28"/>
          <w:szCs w:val="28"/>
          <w:highlight w:val="none"/>
        </w:rPr>
        <w:br w:type="page"/>
      </w:r>
    </w:p>
    <w:p>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我单位收到贵单位“照明集采2024001号”招募公告后，经仔细阅读和研究，决定参加本项目的招募活动并报名。为此，我方郑重声明以下诸点，并负法律责任。</w:t>
      </w:r>
    </w:p>
    <w:p>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2024轮次电缆类供应商初筛供应商库，愿按《中华人民共和国民法典》履行自己的全部责任，入库期间严格按照招募人的每一项要求执行。</w:t>
      </w:r>
    </w:p>
    <w:p>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w:t>
      </w:r>
      <w:r>
        <w:rPr>
          <w:color w:val="auto"/>
          <w:sz w:val="21"/>
          <w:szCs w:val="21"/>
          <w:highlight w:val="none"/>
        </w:rPr>
        <w:t>2</w:t>
      </w:r>
      <w:r>
        <w:rPr>
          <w:rFonts w:hint="eastAsia"/>
          <w:color w:val="auto"/>
          <w:sz w:val="21"/>
          <w:szCs w:val="21"/>
          <w:highlight w:val="none"/>
        </w:rPr>
        <w:t>1年1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pPr>
        <w:pStyle w:val="12"/>
        <w:spacing w:line="360" w:lineRule="auto"/>
        <w:ind w:right="210" w:rightChars="100" w:firstLine="420" w:firstLineChars="200"/>
        <w:jc w:val="left"/>
        <w:rPr>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8.与本招募有关的正式通讯地址为：</w:t>
      </w:r>
    </w:p>
    <w:p>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pPr>
        <w:spacing w:line="360" w:lineRule="auto"/>
        <w:ind w:right="210" w:rightChars="100" w:firstLine="420" w:firstLineChars="200"/>
        <w:rPr>
          <w:rFonts w:ascii="宋体" w:hAnsi="宋体" w:cs="宋体"/>
          <w:color w:val="auto"/>
          <w:highlight w:val="none"/>
        </w:rPr>
      </w:pPr>
    </w:p>
    <w:p>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pPr>
        <w:spacing w:line="360" w:lineRule="auto"/>
        <w:ind w:right="210" w:rightChars="100" w:firstLine="420" w:firstLineChars="200"/>
        <w:rPr>
          <w:rFonts w:ascii="宋体" w:hAnsi="宋体" w:cs="宋体"/>
          <w:color w:val="auto"/>
          <w:highlight w:val="none"/>
        </w:rPr>
      </w:pPr>
    </w:p>
    <w:p>
      <w:pPr>
        <w:spacing w:line="360" w:lineRule="auto"/>
        <w:ind w:right="210" w:rightChars="100" w:firstLine="420" w:firstLineChars="200"/>
        <w:rPr>
          <w:rFonts w:ascii="宋体" w:hAnsi="宋体" w:cs="宋体"/>
          <w:color w:val="auto"/>
          <w:highlight w:val="none"/>
        </w:rPr>
      </w:pP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pPr>
        <w:snapToGrid w:val="0"/>
        <w:spacing w:line="360" w:lineRule="auto"/>
        <w:ind w:right="210" w:rightChars="100" w:firstLine="420" w:firstLineChars="200"/>
        <w:rPr>
          <w:rFonts w:ascii="宋体" w:hAnsi="宋体" w:cs="宋体"/>
          <w:color w:val="auto"/>
          <w:highlight w:val="none"/>
        </w:rPr>
      </w:pPr>
    </w:p>
    <w:p>
      <w:pPr>
        <w:snapToGrid w:val="0"/>
        <w:spacing w:line="360" w:lineRule="auto"/>
        <w:ind w:right="210" w:rightChars="100" w:firstLine="422" w:firstLineChars="200"/>
        <w:rPr>
          <w:rFonts w:ascii="宋体" w:hAnsi="宋体" w:cs="宋体"/>
          <w:b/>
          <w:color w:val="auto"/>
          <w:highlight w:val="none"/>
        </w:rPr>
      </w:pP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pPr>
        <w:snapToGrid w:val="0"/>
        <w:spacing w:line="360" w:lineRule="auto"/>
        <w:ind w:right="210" w:rightChars="100" w:firstLine="482" w:firstLineChars="200"/>
        <w:rPr>
          <w:rFonts w:ascii="宋体" w:hAnsi="宋体" w:cs="宋体"/>
          <w:b/>
          <w:color w:val="auto"/>
          <w:sz w:val="24"/>
          <w:szCs w:val="28"/>
          <w:highlight w:val="none"/>
        </w:rPr>
      </w:pPr>
    </w:p>
    <w:p>
      <w:pPr>
        <w:spacing w:line="360" w:lineRule="auto"/>
        <w:ind w:right="210" w:rightChars="100" w:firstLine="420" w:firstLineChars="200"/>
        <w:rPr>
          <w:rFonts w:ascii="宋体" w:hAnsi="宋体" w:cs="宋体"/>
          <w:color w:val="auto"/>
          <w:highlight w:val="none"/>
        </w:rPr>
      </w:pPr>
    </w:p>
    <w:p>
      <w:pPr>
        <w:spacing w:line="360" w:lineRule="auto"/>
        <w:ind w:right="210" w:rightChars="100" w:firstLine="420" w:firstLineChars="200"/>
        <w:rPr>
          <w:rFonts w:ascii="宋体" w:hAnsi="宋体" w:cs="宋体"/>
          <w:color w:val="auto"/>
          <w:highlight w:val="none"/>
        </w:rPr>
      </w:pPr>
    </w:p>
    <w:p>
      <w:pPr>
        <w:spacing w:line="360" w:lineRule="auto"/>
        <w:ind w:right="210" w:rightChars="100" w:firstLine="420" w:firstLineChars="200"/>
        <w:rPr>
          <w:rFonts w:ascii="宋体" w:hAnsi="宋体" w:cs="宋体"/>
          <w:color w:val="auto"/>
          <w:highlight w:val="none"/>
        </w:rPr>
      </w:pPr>
    </w:p>
    <w:p>
      <w:pPr>
        <w:spacing w:line="360" w:lineRule="auto"/>
        <w:ind w:right="210" w:rightChars="100" w:firstLine="420" w:firstLineChars="200"/>
        <w:rPr>
          <w:rFonts w:ascii="宋体" w:hAnsi="宋体" w:cs="宋体"/>
          <w:color w:val="auto"/>
          <w:highlight w:val="none"/>
        </w:rPr>
      </w:pPr>
    </w:p>
    <w:p>
      <w:pPr>
        <w:spacing w:line="360" w:lineRule="auto"/>
        <w:ind w:right="210" w:rightChars="100" w:firstLine="420" w:firstLineChars="200"/>
        <w:rPr>
          <w:rFonts w:ascii="宋体" w:hAnsi="宋体" w:cs="宋体"/>
          <w:color w:val="auto"/>
          <w:highlight w:val="none"/>
        </w:rPr>
      </w:pPr>
    </w:p>
    <w:p>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pPr>
        <w:adjustRightInd w:val="0"/>
        <w:snapToGrid w:val="0"/>
        <w:spacing w:line="360" w:lineRule="auto"/>
        <w:ind w:right="210" w:rightChars="100" w:firstLine="480" w:firstLineChars="200"/>
        <w:rPr>
          <w:rFonts w:ascii="宋体" w:hAnsi="宋体" w:cs="宋体"/>
          <w:color w:val="auto"/>
          <w:sz w:val="24"/>
          <w:szCs w:val="24"/>
          <w:highlight w:val="none"/>
        </w:rPr>
      </w:pPr>
    </w:p>
    <w:p>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pPr>
        <w:adjustRightInd w:val="0"/>
        <w:snapToGrid w:val="0"/>
        <w:spacing w:line="360" w:lineRule="auto"/>
        <w:ind w:right="210" w:rightChars="100" w:firstLine="420" w:firstLineChars="200"/>
        <w:rPr>
          <w:rFonts w:ascii="宋体" w:hAnsi="宋体" w:cs="宋体"/>
          <w:color w:val="auto"/>
          <w:highlight w:val="none"/>
        </w:rPr>
      </w:pPr>
    </w:p>
    <w:p>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pPr>
        <w:spacing w:line="360" w:lineRule="auto"/>
        <w:ind w:right="210" w:rightChars="100" w:firstLine="420" w:firstLineChars="200"/>
        <w:rPr>
          <w:rFonts w:ascii="宋体" w:hAnsi="宋体" w:cs="宋体"/>
          <w:color w:val="auto"/>
          <w:highlight w:val="none"/>
        </w:rPr>
      </w:pP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pPr>
        <w:spacing w:line="360" w:lineRule="auto"/>
        <w:ind w:right="210" w:rightChars="100" w:firstLine="420" w:firstLineChars="200"/>
        <w:rPr>
          <w:rFonts w:ascii="宋体" w:hAnsi="宋体" w:cs="宋体"/>
          <w:color w:val="auto"/>
          <w:highlight w:val="none"/>
        </w:rPr>
      </w:pP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pPr>
        <w:spacing w:line="360" w:lineRule="auto"/>
        <w:ind w:right="210" w:rightChars="100" w:firstLine="643" w:firstLineChars="200"/>
        <w:jc w:val="left"/>
        <w:rPr>
          <w:rFonts w:ascii="宋体" w:hAnsi="宋体" w:cs="宋体"/>
          <w:b/>
          <w:color w:val="auto"/>
          <w:sz w:val="32"/>
          <w:szCs w:val="32"/>
          <w:highlight w:val="none"/>
        </w:rPr>
      </w:pPr>
    </w:p>
    <w:p>
      <w:pPr>
        <w:spacing w:line="360" w:lineRule="auto"/>
        <w:ind w:right="210" w:rightChars="100" w:firstLine="480" w:firstLineChars="200"/>
        <w:rPr>
          <w:rFonts w:ascii="宋体" w:hAnsi="宋体" w:cs="宋体"/>
          <w:b/>
          <w:color w:val="auto"/>
          <w:sz w:val="24"/>
          <w:highlight w:val="none"/>
        </w:rPr>
      </w:pPr>
      <w:r>
        <w:rPr>
          <w:rFonts w:hint="eastAsia" w:ascii="宋体" w:hAnsi="宋体" w:cs="宋体"/>
          <w:color w:val="auto"/>
          <w:sz w:val="24"/>
          <w:szCs w:val="24"/>
          <w:highlight w:val="none"/>
        </w:rPr>
        <w:t>申请人简介、申请人营业执照、资质证书（如有）复印件加盖企业公章、符合资格审查资料要求提供的所有证明材料、优惠条款或承诺等其他所需材料。</w:t>
      </w:r>
    </w:p>
    <w:p>
      <w:pPr>
        <w:spacing w:line="360" w:lineRule="auto"/>
        <w:ind w:right="210" w:rightChars="100"/>
        <w:rPr>
          <w:color w:val="auto"/>
          <w:highlight w:val="none"/>
        </w:rPr>
      </w:pPr>
    </w:p>
    <w:p>
      <w:pPr>
        <w:pStyle w:val="2"/>
        <w:rPr>
          <w:color w:val="auto"/>
          <w:highlight w:val="none"/>
        </w:rPr>
      </w:pP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5642F3B"/>
    <w:rsid w:val="0D8161AC"/>
    <w:rsid w:val="0F853815"/>
    <w:rsid w:val="19715A02"/>
    <w:rsid w:val="1D181B85"/>
    <w:rsid w:val="27DA514D"/>
    <w:rsid w:val="2AEB08D9"/>
    <w:rsid w:val="30B82F68"/>
    <w:rsid w:val="32B365FD"/>
    <w:rsid w:val="32DE3658"/>
    <w:rsid w:val="3A1D2DF8"/>
    <w:rsid w:val="3E120585"/>
    <w:rsid w:val="40543AC0"/>
    <w:rsid w:val="41DF4FC2"/>
    <w:rsid w:val="44FC06F4"/>
    <w:rsid w:val="45D25F30"/>
    <w:rsid w:val="51F623D4"/>
    <w:rsid w:val="523D6910"/>
    <w:rsid w:val="649A3D73"/>
    <w:rsid w:val="6DA079C8"/>
    <w:rsid w:val="704B7D8D"/>
    <w:rsid w:val="77FA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3092</Words>
  <Characters>3418</Characters>
  <Lines>29</Lines>
  <Paragraphs>8</Paragraphs>
  <TotalTime>45</TotalTime>
  <ScaleCrop>false</ScaleCrop>
  <LinksUpToDate>false</LinksUpToDate>
  <CharactersWithSpaces>4016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2024-07-01T07:01:00Z</cp:lastPrinted>
  <dcterms:modified xsi:type="dcterms:W3CDTF">2024-07-15T07:15:20Z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6C61B42EDBB14EC8888058658D61C16F_13</vt:lpwstr>
  </property>
</Properties>
</file>