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55576984"/>
      <w:bookmarkStart w:id="1" w:name="_Toc18305"/>
      <w:bookmarkStart w:id="2" w:name="_Toc46274261"/>
      <w:bookmarkStart w:id="3" w:name="_Toc46273945"/>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28359079"/>
      <w:bookmarkStart w:id="7" w:name="_Toc46273947"/>
      <w:bookmarkStart w:id="8" w:name="_Toc55576987"/>
      <w:bookmarkStart w:id="9" w:name="_Toc35393621"/>
      <w:bookmarkStart w:id="10" w:name="_Toc28359002"/>
      <w:bookmarkStart w:id="11" w:name="_Toc46274263"/>
      <w:bookmarkStart w:id="12" w:name="_Toc35393790"/>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土建劳务分包项目</w:t>
      </w:r>
      <w:r>
        <w:rPr>
          <w:rFonts w:hint="eastAsia" w:ascii="宋体" w:hAnsi="宋体" w:cs="宋体"/>
          <w:bCs/>
          <w:color w:val="auto"/>
          <w:spacing w:val="2"/>
          <w:highlight w:val="none"/>
        </w:rPr>
        <w:t>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土建劳务分包项目</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46274264"/>
      <w:bookmarkStart w:id="16" w:name="_Toc55576988"/>
      <w:bookmarkStart w:id="17" w:name="_Toc46273948"/>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照明集采202400</w:t>
      </w:r>
      <w:bookmarkStart w:id="18" w:name="_Toc55576989"/>
      <w:bookmarkStart w:id="19" w:name="_Toc46274265"/>
      <w:bookmarkStart w:id="20" w:name="_Toc46273949"/>
      <w:r>
        <w:rPr>
          <w:rFonts w:hint="eastAsia" w:ascii="宋体" w:hAnsi="宋体" w:cs="宋体"/>
          <w:bCs/>
          <w:color w:val="auto"/>
          <w:spacing w:val="2"/>
          <w:highlight w:val="none"/>
          <w:lang w:val="en-US" w:eastAsia="zh-CN"/>
        </w:rPr>
        <w:t>4</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3950"/>
      <w:bookmarkStart w:id="22" w:name="_Toc46274266"/>
      <w:r>
        <w:rPr>
          <w:rFonts w:hint="eastAsia" w:ascii="宋体" w:hAnsi="宋体" w:cs="宋体"/>
          <w:bCs/>
          <w:color w:val="auto"/>
          <w:spacing w:val="2"/>
          <w:highlight w:val="none"/>
        </w:rPr>
        <w:t>常州市城市照明工程有限公司土建劳务分包项目供应商初筛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4268"/>
      <w:bookmarkStart w:id="24" w:name="_Toc46273952"/>
      <w:r>
        <w:rPr>
          <w:rFonts w:hint="eastAsia" w:ascii="宋体" w:hAnsi="宋体" w:cs="宋体"/>
          <w:bCs/>
          <w:color w:val="auto"/>
          <w:highlight w:val="none"/>
        </w:rPr>
        <w:t>招募范围：</w:t>
      </w:r>
      <w:bookmarkEnd w:id="23"/>
      <w:bookmarkEnd w:id="24"/>
      <w:r>
        <w:rPr>
          <w:rFonts w:hint="eastAsia" w:ascii="宋体" w:hAnsi="宋体" w:cs="宋体"/>
          <w:bCs/>
          <w:color w:val="auto"/>
          <w:highlight w:val="none"/>
        </w:rPr>
        <w:t>城市照明项目所涉土建劳务工作，主要包含挖电缆沟槽、敷设电缆保护管、电缆沟槽回填土、敷设电缆、挖路灯基础（井基础）坑、基础浇筑、井砌筑等。</w:t>
      </w:r>
    </w:p>
    <w:p w14:paraId="78B6149A">
      <w:pPr>
        <w:spacing w:line="360" w:lineRule="auto"/>
        <w:ind w:right="210" w:rightChars="100" w:firstLine="420" w:firstLineChars="200"/>
        <w:rPr>
          <w:rFonts w:hint="eastAsia" w:eastAsiaTheme="majorEastAsia"/>
          <w:lang w:val="en-US" w:eastAsia="zh-CN"/>
        </w:rPr>
      </w:pPr>
      <w:bookmarkStart w:id="25" w:name="_Toc55576993"/>
      <w:bookmarkStart w:id="26" w:name="_Toc35393791"/>
      <w:bookmarkStart w:id="27" w:name="_Toc35393622"/>
      <w:bookmarkStart w:id="28" w:name="_Toc46273957"/>
      <w:bookmarkStart w:id="29" w:name="_Toc28359003"/>
      <w:bookmarkStart w:id="30" w:name="_Toc28359080"/>
      <w:bookmarkStart w:id="31" w:name="_Toc46274273"/>
      <w:r>
        <w:rPr>
          <w:rFonts w:hint="eastAsia" w:ascii="宋体" w:hAnsi="宋体" w:cs="宋体"/>
          <w:color w:val="auto"/>
          <w:kern w:val="0"/>
          <w:highlight w:val="none"/>
        </w:rPr>
        <w:t>质量要求：合格，应符合现行国家标准、规范等要求。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5"/>
      <w:bookmarkEnd w:id="26"/>
      <w:bookmarkEnd w:id="27"/>
      <w:bookmarkEnd w:id="28"/>
      <w:bookmarkEnd w:id="29"/>
      <w:bookmarkEnd w:id="30"/>
      <w:bookmarkEnd w:id="31"/>
    </w:p>
    <w:p w14:paraId="114E3A7A">
      <w:pPr>
        <w:spacing w:line="360" w:lineRule="auto"/>
        <w:ind w:right="210" w:rightChars="100" w:firstLine="420" w:firstLineChars="200"/>
        <w:rPr>
          <w:rFonts w:ascii="宋体" w:hAnsi="宋体" w:cs="宋体"/>
          <w:color w:val="auto"/>
          <w:highlight w:val="none"/>
        </w:rPr>
      </w:pPr>
      <w:bookmarkStart w:id="32" w:name="_Toc46273965"/>
      <w:bookmarkStart w:id="33" w:name="_Toc28359081"/>
      <w:bookmarkStart w:id="34" w:name="_Toc46274281"/>
      <w:bookmarkStart w:id="35" w:name="_Toc35393792"/>
      <w:bookmarkStart w:id="36" w:name="_Toc35393623"/>
      <w:bookmarkStart w:id="37" w:name="_Toc28359004"/>
      <w:bookmarkStart w:id="38" w:name="_Toc55577007"/>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w:t>
      </w:r>
      <w:r>
        <w:rPr>
          <w:rFonts w:hint="eastAsia" w:ascii="宋体" w:hAnsi="宋体" w:cs="宋体"/>
          <w:color w:val="auto"/>
          <w:highlight w:val="none"/>
          <w:lang w:val="en-US" w:eastAsia="zh-CN"/>
        </w:rPr>
        <w:t>从</w:t>
      </w:r>
      <w:r>
        <w:rPr>
          <w:rFonts w:hint="eastAsia" w:ascii="宋体" w:hAnsi="宋体" w:cs="宋体"/>
          <w:color w:val="auto"/>
          <w:highlight w:val="none"/>
        </w:rPr>
        <w:t>获取招募公告截止之日</w:t>
      </w:r>
      <w:r>
        <w:rPr>
          <w:rFonts w:hint="eastAsia" w:ascii="宋体" w:hAnsi="宋体" w:cs="宋体"/>
          <w:color w:val="auto"/>
          <w:highlight w:val="none"/>
          <w:lang w:val="en-US" w:eastAsia="zh-CN"/>
        </w:rPr>
        <w:t>往前推算</w:t>
      </w:r>
      <w:r>
        <w:rPr>
          <w:rFonts w:hint="eastAsia" w:ascii="宋体" w:hAnsi="宋体" w:cs="宋体"/>
          <w:color w:val="auto"/>
          <w:highlight w:val="none"/>
        </w:rPr>
        <w:t>）"中国裁判文书网"官方网站（http://wenshu.court.gov.cn）无行贿犯罪记录。如有行贿犯罪记录，不得参与本项目。（提供承诺书）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7625BE4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.供应商在国家企业信用信息公示系统（http://www.gsxt.gov.cn/）中未被列入企业严重违法失信企业名单及企业经营异常名录。（须提供承诺并加盖公章）</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56481FF4">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1）供应商具备不少于15人的劳动力储备（储备人员均为男性，年龄在55周岁以下），且必须为自有人员。（提供上述人员与供应商签订的劳动合同及社保缴纳证明复印件并加盖公章，劳动合同携带原件备查）</w:t>
      </w:r>
      <w:r>
        <w:rPr>
          <w:rFonts w:hint="eastAsia" w:ascii="宋体" w:hAnsi="宋体" w:cs="宋体"/>
          <w:color w:val="auto"/>
          <w:kern w:val="2"/>
          <w:highlight w:val="none"/>
        </w:rPr>
        <w:t>；</w:t>
      </w:r>
    </w:p>
    <w:p w14:paraId="44A54418">
      <w:pPr>
        <w:spacing w:line="360" w:lineRule="auto"/>
        <w:ind w:right="210" w:rightChars="100" w:firstLine="420" w:firstLineChars="200"/>
        <w:rPr>
          <w:rFonts w:hint="eastAsia" w:ascii="宋体" w:hAnsi="宋体" w:cs="宋体"/>
          <w:b w:val="0"/>
          <w:bCs w:val="0"/>
          <w:color w:val="auto"/>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rPr>
        <w:t>）</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rPr>
        <w:t>须配备带班人员以及安全员各1名，安全员须具有安全员C证；配备焊工不少于2人（提交安全员证、焊工证及社保缴纳证明复印件并加盖公章，并携带原件备查）。</w:t>
      </w:r>
    </w:p>
    <w:p w14:paraId="7817B927">
      <w:pPr>
        <w:spacing w:line="360" w:lineRule="auto"/>
        <w:ind w:right="210" w:rightChars="100" w:firstLine="420" w:firstLineChars="200"/>
        <w:jc w:val="left"/>
        <w:outlineLvl w:val="9"/>
        <w:rPr>
          <w:rFonts w:hint="eastAsia" w:ascii="宋体" w:hAnsi="宋体" w:cs="宋体"/>
          <w:b w:val="0"/>
          <w:bCs w:val="0"/>
          <w:color w:val="auto"/>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3）</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lang w:val="en-US" w:eastAsia="zh-CN"/>
        </w:rPr>
        <w:t>须配备至少一辆材料运输车辆和一辆人员运输车辆，保证人员及工程材料及时到达作业现场（提供年审有效期内运输车辆的行驶证复印件并加盖公章，租用车辆另需提供租赁合同复印件并加盖公章，携带合同原件备查）</w:t>
      </w:r>
      <w:r>
        <w:rPr>
          <w:rFonts w:hint="eastAsia" w:ascii="宋体" w:hAnsi="宋体" w:cs="宋体"/>
          <w:b w:val="0"/>
          <w:bCs w:val="0"/>
          <w:color w:val="auto"/>
          <w:highlight w:val="none"/>
        </w:rPr>
        <w:t>。</w:t>
      </w:r>
    </w:p>
    <w:p w14:paraId="4F98A339">
      <w:pPr>
        <w:spacing w:line="360" w:lineRule="auto"/>
        <w:ind w:right="210" w:rightChars="100" w:firstLine="420" w:firstLineChars="200"/>
        <w:jc w:val="left"/>
        <w:outlineLvl w:val="9"/>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（4）</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rPr>
        <w:t>须</w:t>
      </w:r>
      <w:r>
        <w:rPr>
          <w:rFonts w:hint="eastAsia" w:ascii="宋体" w:hAnsi="宋体" w:cs="宋体"/>
          <w:b w:val="0"/>
          <w:bCs w:val="0"/>
          <w:color w:val="auto"/>
          <w:highlight w:val="none"/>
          <w:lang w:val="en-US" w:eastAsia="zh-CN"/>
        </w:rPr>
        <w:t>具备安全生产许可证且在有效期内（提供安全生产许可证复印件并加盖公章，携带原件备查）。</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（2）有效期内的营业执照，包含劳务分包、建筑劳务、劳务外包或劳务等内容，没有上述内容的需提供劳务资质证书；</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39" w:name="_Toc46274291"/>
      <w:bookmarkStart w:id="40" w:name="_Toc46273975"/>
      <w:bookmarkStart w:id="41" w:name="_Toc55577017"/>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39"/>
      <w:bookmarkEnd w:id="40"/>
      <w:bookmarkEnd w:id="41"/>
      <w:bookmarkStart w:id="42" w:name="_Toc46274292"/>
      <w:bookmarkStart w:id="43" w:name="_Toc55577018"/>
      <w:bookmarkStart w:id="44" w:name="_Toc46273976"/>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3</w:t>
      </w:r>
      <w:r>
        <w:rPr>
          <w:rFonts w:ascii="宋体" w:hAnsi="宋体" w:cs="宋体"/>
          <w:bCs/>
          <w:color w:val="auto"/>
          <w:kern w:val="0"/>
          <w:highlight w:val="none"/>
        </w:rPr>
        <w:t>日至</w:t>
      </w: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9</w:t>
      </w:r>
      <w:bookmarkStart w:id="50" w:name="_GoBack"/>
      <w:bookmarkEnd w:id="50"/>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2"/>
      <w:bookmarkEnd w:id="43"/>
      <w:bookmarkEnd w:id="44"/>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（2）以上所有资料资格审查时必须提供有效复印件二份，复印件必须装订成册并加盖公章，申请人必须对其提供的资料的真实性负责。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rPr>
        <w:t>常州市城市照明工程有限公司土建劳务分包项目供应商初步筛选库，具备参与后续正式入围资格。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2"/>
      <w:bookmarkEnd w:id="33"/>
      <w:bookmarkEnd w:id="34"/>
      <w:bookmarkEnd w:id="35"/>
      <w:bookmarkEnd w:id="36"/>
      <w:bookmarkEnd w:id="37"/>
      <w:bookmarkEnd w:id="38"/>
      <w:bookmarkStart w:id="45" w:name="_Toc35393795"/>
      <w:bookmarkStart w:id="46" w:name="_Toc55577021"/>
      <w:bookmarkStart w:id="47" w:name="_Toc46273979"/>
      <w:bookmarkStart w:id="48" w:name="_Toc35393626"/>
      <w:bookmarkStart w:id="49" w:name="_Toc46274295"/>
      <w:r>
        <w:rPr>
          <w:rFonts w:hint="eastAsia" w:ascii="宋体" w:hAnsi="宋体" w:cs="宋体"/>
          <w:color w:val="auto"/>
          <w:kern w:val="0"/>
          <w:highlight w:val="none"/>
        </w:rPr>
        <w:t>其他补充事宜</w:t>
      </w:r>
      <w:bookmarkEnd w:id="45"/>
      <w:bookmarkEnd w:id="46"/>
      <w:bookmarkEnd w:id="47"/>
      <w:bookmarkEnd w:id="48"/>
      <w:bookmarkEnd w:id="49"/>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人：</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rPr>
              <w:t>照明集采202400</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rPr>
              <w:t>常州市城市照明工程有限公司土建劳务分包项目供应商初筛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我单位收到贵单位“照明集采202400</w:t>
      </w:r>
      <w:r>
        <w:rPr>
          <w:rFonts w:hint="eastAsia"/>
          <w:color w:val="auto"/>
          <w:sz w:val="21"/>
          <w:szCs w:val="21"/>
          <w:highlight w:val="none"/>
          <w:lang w:val="en-US" w:eastAsia="zh-CN"/>
        </w:rPr>
        <w:t>4</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土建劳务分包项目供应商初筛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2021年12月1日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rFonts w:hint="eastAsia"/>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3466601A">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8.我方承诺依据本项目的要求配备铲、锹、锤、钎等常用作业工具；按需配备小推车、混凝土震动棒、打夯机、发电机、电焊机等必要的作业机械。我方具备随时租、调挖掘机、破路机、锯缝机、压路机、吊车、卡车等大型作业机械的能力，并保证所有机械经过年检合格且操作人员持证上岗。</w:t>
      </w:r>
    </w:p>
    <w:p w14:paraId="69742DE5">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9.我方承诺工作人员统一穿戴招标人配备的工作服、安全帽、手套等劳动防护用品，并按标准佩戴齐全。</w:t>
      </w:r>
    </w:p>
    <w:p w14:paraId="208D70C6">
      <w:pPr>
        <w:pStyle w:val="12"/>
        <w:spacing w:line="360" w:lineRule="auto"/>
        <w:ind w:right="210" w:rightChars="100" w:firstLine="422" w:firstLineChars="200"/>
        <w:jc w:val="left"/>
        <w:rPr>
          <w:rFonts w:hint="default"/>
          <w:b/>
          <w:bCs/>
          <w:color w:val="auto"/>
          <w:sz w:val="21"/>
          <w:szCs w:val="21"/>
          <w:highlight w:val="none"/>
          <w:lang w:val="en-US" w:eastAsia="zh-CN"/>
        </w:rPr>
      </w:pPr>
      <w:r>
        <w:rPr>
          <w:rFonts w:hint="eastAsia"/>
          <w:b/>
          <w:bCs/>
          <w:color w:val="auto"/>
          <w:sz w:val="21"/>
          <w:szCs w:val="21"/>
          <w:highlight w:val="none"/>
          <w:lang w:val="en-US" w:eastAsia="zh-CN"/>
        </w:rPr>
        <w:t>10.我方承诺按照《劳务队伍作业标准及考核暂行办法》及补充规定之技术、质量要求履行：①保证作业质量符合设计和相关标准、规范的要求，管理人员相对稳定，制定完整的作业人员培训计划。②提供对甲供材料的领用、临时保管存放、退库管理的保证措施。③保证安全文明作业的管理措施。④保证不拖欠民工工资。</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lang w:val="en-US" w:eastAsia="zh-CN"/>
        </w:rPr>
        <w:t>11</w:t>
      </w:r>
      <w:r>
        <w:rPr>
          <w:rFonts w:hint="eastAsia"/>
          <w:color w:val="auto"/>
          <w:sz w:val="21"/>
          <w:szCs w:val="21"/>
          <w:highlight w:val="none"/>
        </w:rPr>
        <w:t>.与本招募有关的正式通讯地址为：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2024</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期：2024年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4"/>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3BF702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劳务清单（土建）</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4301"/>
        <w:gridCol w:w="3960"/>
        <w:gridCol w:w="741"/>
      </w:tblGrid>
      <w:tr w14:paraId="6492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7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序号</w:t>
            </w: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7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 名    称</w:t>
            </w:r>
          </w:p>
        </w:tc>
        <w:tc>
          <w:tcPr>
            <w:tcW w:w="2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D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工作内容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3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计量单位</w:t>
            </w:r>
          </w:p>
        </w:tc>
      </w:tr>
      <w:tr w14:paraId="366F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1C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一</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93C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电缆沟槽挖土方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C0D6">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F884">
            <w:pPr>
              <w:jc w:val="center"/>
              <w:rPr>
                <w:rFonts w:hint="eastAsia" w:ascii="宋体" w:hAnsi="宋体" w:eastAsia="宋体" w:cs="宋体"/>
                <w:b/>
                <w:bCs/>
                <w:i w:val="0"/>
                <w:iCs w:val="0"/>
                <w:color w:val="000000"/>
                <w:sz w:val="21"/>
                <w:szCs w:val="21"/>
                <w:u w:val="none"/>
              </w:rPr>
            </w:pPr>
          </w:p>
        </w:tc>
      </w:tr>
      <w:tr w14:paraId="18C3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D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68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人工挖沟、槽土方 </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4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人工挖电缆沟槽（自备工具）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8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210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E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01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人工挖沟、槽土方（单侧抛土）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F1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人工挖电缆沟槽，单侧抛土（自备工具）具）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0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1202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0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A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人工松填土 坑、槽</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EC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人工向电缆沟槽回填土（自备工具）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3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3755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D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3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人工填土夯实 槽、坑</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2C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人工向电缆沟槽回填土并分层夯实（自备工具）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6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7BBB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9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EE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机械挖土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4D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机械挖土，不装车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E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6F4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6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72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机械松填土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99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机械回填土</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B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6F2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0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4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机械填土夯实 槽、坑</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08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机械回填土</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C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4403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8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87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履带式挖掘机场外运输费用</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91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机械进出场费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1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元/次</w:t>
            </w:r>
          </w:p>
        </w:tc>
      </w:tr>
      <w:tr w14:paraId="2AE1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B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二</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A14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路面开挖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D4AC">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1B59">
            <w:pPr>
              <w:jc w:val="center"/>
              <w:rPr>
                <w:rFonts w:hint="eastAsia" w:ascii="宋体" w:hAnsi="宋体" w:eastAsia="宋体" w:cs="宋体"/>
                <w:b/>
                <w:bCs/>
                <w:i w:val="0"/>
                <w:iCs w:val="0"/>
                <w:color w:val="000000"/>
                <w:sz w:val="21"/>
                <w:szCs w:val="21"/>
                <w:u w:val="none"/>
              </w:rPr>
            </w:pPr>
          </w:p>
        </w:tc>
      </w:tr>
      <w:tr w14:paraId="5FDB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B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25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道路面层 锯缝机锯缝</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81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锯缝机锯缝（自备设备和辅材）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7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15BF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B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AA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拆除沥青柏油类路面层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C1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拆除沥青路面并清理废弃物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F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51D1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5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35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拆除混凝土、水稳类路面层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4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拆除混凝土路面并清理废弃物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D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27DB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5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8B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拆除无骨料多合土 每5cm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17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拆除无骨料灰土层并清理废弃物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9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0F6F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C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66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拆除人行道 混凝土预制板</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8B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人工拆除人行道板并清理废弃物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8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249F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2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85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拆除人行道 现浇混凝土面层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F3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人工拆除道板下混凝土并清理废弃物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A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73D2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0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E6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 水泥砂浆垫层</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77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恢复人行道（自备辅材）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6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4492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4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36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 道板</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2E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恢复人行道（自备辅材不含主材）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C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40C3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5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12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沥青路面恢复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66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8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49AD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8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08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透水混凝土路面恢复（20m</w:t>
            </w:r>
            <w:r>
              <w:rPr>
                <w:rFonts w:hint="eastAsia" w:ascii="宋体" w:hAnsi="宋体" w:eastAsia="宋体" w:cs="宋体"/>
                <w:i w:val="0"/>
                <w:iCs w:val="0"/>
                <w:color w:val="000000"/>
                <w:kern w:val="0"/>
                <w:sz w:val="21"/>
                <w:szCs w:val="21"/>
                <w:u w:val="none"/>
                <w:vertAlign w:val="superscript"/>
                <w:lang w:val="en-US" w:eastAsia="zh-CN" w:bidi="ar"/>
                <w14:ligatures w14:val="standardContextual"/>
              </w:rPr>
              <w:t>2</w:t>
            </w:r>
            <w:r>
              <w:rPr>
                <w:rFonts w:hint="eastAsia" w:ascii="宋体" w:hAnsi="宋体" w:eastAsia="宋体" w:cs="宋体"/>
                <w:i w:val="0"/>
                <w:iCs w:val="0"/>
                <w:color w:val="000000"/>
                <w:kern w:val="0"/>
                <w:sz w:val="21"/>
                <w:szCs w:val="21"/>
                <w:u w:val="none"/>
                <w:lang w:val="en-US" w:eastAsia="zh-CN" w:bidi="ar"/>
                <w14:ligatures w14:val="standardContextual"/>
              </w:rPr>
              <w:t>以上）</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1D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1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5176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6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3B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透水混凝土路面恢复（20m</w:t>
            </w:r>
            <w:r>
              <w:rPr>
                <w:rFonts w:hint="eastAsia" w:ascii="宋体" w:hAnsi="宋体" w:eastAsia="宋体" w:cs="宋体"/>
                <w:i w:val="0"/>
                <w:iCs w:val="0"/>
                <w:color w:val="000000"/>
                <w:kern w:val="0"/>
                <w:sz w:val="21"/>
                <w:szCs w:val="21"/>
                <w:u w:val="none"/>
                <w:vertAlign w:val="superscript"/>
                <w:lang w:val="en-US" w:eastAsia="zh-CN" w:bidi="ar"/>
                <w14:ligatures w14:val="standardContextual"/>
              </w:rPr>
              <w:t>2</w:t>
            </w:r>
            <w:r>
              <w:rPr>
                <w:rFonts w:hint="eastAsia" w:ascii="宋体" w:hAnsi="宋体" w:eastAsia="宋体" w:cs="宋体"/>
                <w:i w:val="0"/>
                <w:iCs w:val="0"/>
                <w:color w:val="000000"/>
                <w:kern w:val="0"/>
                <w:sz w:val="21"/>
                <w:szCs w:val="21"/>
                <w:u w:val="none"/>
                <w:lang w:val="en-US" w:eastAsia="zh-CN" w:bidi="ar"/>
                <w14:ligatures w14:val="standardContextual"/>
              </w:rPr>
              <w:t>以下）</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09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E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1612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B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2B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人工装运土方 人工运土 运距20m内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22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余土外运装车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D8C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3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CB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自卸汽车运土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D4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余土外运至指定地点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5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6100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45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三</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343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挖杆洞</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1D8B">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F913">
            <w:pPr>
              <w:jc w:val="center"/>
              <w:rPr>
                <w:rFonts w:hint="eastAsia" w:ascii="宋体" w:hAnsi="宋体" w:eastAsia="宋体" w:cs="宋体"/>
                <w:b/>
                <w:bCs/>
                <w:i w:val="0"/>
                <w:iCs w:val="0"/>
                <w:color w:val="000000"/>
                <w:sz w:val="21"/>
                <w:szCs w:val="21"/>
                <w:u w:val="none"/>
              </w:rPr>
            </w:pPr>
          </w:p>
        </w:tc>
      </w:tr>
      <w:tr w14:paraId="16B0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0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9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人工挖电杆坑一、二类土 坑深1m以内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C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挖草坪灯0.4*0.4*0.6、                       绿化投光灯0.45*0.6*0.55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5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FE7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9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15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坑深1m以内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4D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挖庭院灯基础0.6*0.6*1.05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C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B24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5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08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16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挖砼杆、350庭院灯基础0.6*0.6*1.4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0BD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C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4A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D7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挖360A基础0.6*0.6*1.78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B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43D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2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22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F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挖360B基础0.6*0.6*2.08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1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5F83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3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90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C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挖360C基础0.7*0.7*2.08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3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1E3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E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68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D5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挖360D基础0.8*0.8*2.08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B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408A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0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DA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8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挖450基础1*1*2.2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7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485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7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7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3B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挖460C基础1.2*1.2*2.23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F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A36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0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20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27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挖460D基础1.4*1.4*2.23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6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B16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D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A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41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挖460G基础1.7*1.7*2.23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C6F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06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四</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DEA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基础、包封混凝土浇筑</w:t>
            </w:r>
          </w:p>
        </w:tc>
        <w:tc>
          <w:tcPr>
            <w:tcW w:w="2036" w:type="pct"/>
            <w:tcBorders>
              <w:top w:val="single" w:color="000000" w:sz="4" w:space="0"/>
              <w:left w:val="single" w:color="000000" w:sz="4" w:space="0"/>
              <w:bottom w:val="single" w:color="000000" w:sz="4" w:space="0"/>
              <w:right w:val="nil"/>
            </w:tcBorders>
            <w:shd w:val="clear" w:color="auto" w:fill="auto"/>
            <w:vAlign w:val="center"/>
          </w:tcPr>
          <w:p w14:paraId="4B6DF660">
            <w:pPr>
              <w:rPr>
                <w:rFonts w:hint="eastAsia" w:ascii="宋体" w:hAnsi="宋体" w:eastAsia="宋体" w:cs="宋体"/>
                <w:b/>
                <w:bCs/>
                <w:i w:val="0"/>
                <w:iCs w:val="0"/>
                <w:color w:val="000000"/>
                <w:sz w:val="21"/>
                <w:szCs w:val="21"/>
                <w:u w:val="none"/>
              </w:rPr>
            </w:pPr>
          </w:p>
        </w:tc>
        <w:tc>
          <w:tcPr>
            <w:tcW w:w="403" w:type="pct"/>
            <w:tcBorders>
              <w:top w:val="single" w:color="000000" w:sz="4" w:space="0"/>
              <w:left w:val="nil"/>
              <w:bottom w:val="single" w:color="000000" w:sz="4" w:space="0"/>
              <w:right w:val="nil"/>
            </w:tcBorders>
            <w:shd w:val="clear" w:color="auto" w:fill="auto"/>
            <w:vAlign w:val="center"/>
          </w:tcPr>
          <w:p w14:paraId="7786EDFF">
            <w:pPr>
              <w:rPr>
                <w:rFonts w:hint="eastAsia" w:ascii="宋体" w:hAnsi="宋体" w:eastAsia="宋体" w:cs="宋体"/>
                <w:b/>
                <w:bCs/>
                <w:i w:val="0"/>
                <w:iCs w:val="0"/>
                <w:color w:val="000000"/>
                <w:sz w:val="21"/>
                <w:szCs w:val="21"/>
                <w:u w:val="none"/>
              </w:rPr>
            </w:pPr>
          </w:p>
        </w:tc>
      </w:tr>
      <w:tr w14:paraId="0BA9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7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34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草坪灯（含结面）、                                绿化投光灯（含接线盒预埋）</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DD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草坪灯0.4*0.4*0.6、                       绿化投光灯0.45*0.6*0.55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A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3A6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F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29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300×300基础浇筑施工费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E7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300×300基础浇筑（0.6*0.6*0.87）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8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2A7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D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5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350×350基础浇筑施工费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0E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350×350基础浇筑（0.6*0.6*1.22）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C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C5C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2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8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360A基础浇筑施工费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9E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360A基础浇筑 （0.6*0.6*1.6）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2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03E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D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B2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360B基础浇筑施工费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FB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360B基础浇筑（0.6*0.6*1.9）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C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81E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C1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360C基础浇筑施工费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84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360C基础浇筑（0.7*0.7*1.9）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4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523C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7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F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360D基础浇筑施工费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EE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360D基础浇筑（0.8*0.8*1.9）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1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4AA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1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E4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450基础浇筑施工费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E3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450基础浇筑（1*1*2.02）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0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3C2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7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D4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460C基础浇筑施工费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4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460C基础浇筑（1.2*1.2*2.05）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9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C1C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7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CB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460D基础浇筑施工费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EA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460D基础浇筑（1.4*1.4*2.05）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6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6AB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7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FF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460G基础浇筑施工费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F6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460G基础浇筑（1.7*1.7*2.05）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2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375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9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CD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各种基础C20混凝土材料费（含税信息价）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0B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开关箱基础(混凝土占总体积1/3,0.1759m3)、草坪灯投光灯(0.15m3)、300×300(0.3132m3)、350×350(0.4392m3)、360A(0.576m3)、360B(0.684m3)、360C（0.931m3）、360D（1.216m3）、450(2.02m3)、460C（2.95m3）、460D（4.02m3）、460G（5.92m3）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F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立方</w:t>
            </w:r>
          </w:p>
        </w:tc>
      </w:tr>
      <w:tr w14:paraId="3DE2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1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3F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庭院灯、360A、360B基础结面施工费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28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基础结面（0.6*0.6*0.18）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5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065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7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BD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450、460C、460D、460G基础结面施工费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FE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基础结面（1*1*0.18）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D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FD0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4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0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各种基础C20混凝土材料费（含税信息价）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F0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庭院灯、360A、B结面(0.0648m3</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)、450、460C、D、G基础结面(0.18m3)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E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立方</w:t>
            </w:r>
          </w:p>
        </w:tc>
      </w:tr>
      <w:tr w14:paraId="36BA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B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1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E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混凝土包封、防盗浇筑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D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6644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5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64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混凝土包封、防盗C20材料费（含税信息价）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1D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混凝土包封、防盗C20材料</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D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44DB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21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五</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A6D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电缆敷设与拆除</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8EEB">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EAA0">
            <w:pPr>
              <w:jc w:val="center"/>
              <w:rPr>
                <w:rFonts w:hint="eastAsia" w:ascii="宋体" w:hAnsi="宋体" w:eastAsia="宋体" w:cs="宋体"/>
                <w:b/>
                <w:bCs/>
                <w:i w:val="0"/>
                <w:iCs w:val="0"/>
                <w:color w:val="000000"/>
                <w:sz w:val="21"/>
                <w:szCs w:val="21"/>
                <w:u w:val="none"/>
              </w:rPr>
            </w:pPr>
          </w:p>
        </w:tc>
      </w:tr>
      <w:tr w14:paraId="1567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8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C1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 截面6及以内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49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B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E9C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A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A9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 截面35以内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9C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9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FE2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C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0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网线敷设</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EE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超五类八芯线网线敷设、标牌挂设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0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D89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E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08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光纤敷设</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C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光纤敷设、焊接、标牌挂设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4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4E6A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B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CA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回收铜芯电缆缆(截面6以内)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C7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回收旧电线</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1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D60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C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A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回收铜芯电缆缆(截面35以内)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23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回收旧电缆</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5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4BF0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F8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六</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9E8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管道敷设、接地制作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B839">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32A3">
            <w:pPr>
              <w:jc w:val="center"/>
              <w:rPr>
                <w:rFonts w:hint="eastAsia" w:ascii="宋体" w:hAnsi="宋体" w:eastAsia="宋体" w:cs="宋体"/>
                <w:b/>
                <w:bCs/>
                <w:i w:val="0"/>
                <w:iCs w:val="0"/>
                <w:color w:val="000000"/>
                <w:sz w:val="21"/>
                <w:szCs w:val="21"/>
                <w:u w:val="none"/>
              </w:rPr>
            </w:pPr>
          </w:p>
        </w:tc>
      </w:tr>
      <w:tr w14:paraId="2729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F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23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硬塑料管地埋敷设公称直径(PE32mm)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BF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0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714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C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B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硬塑料管地埋敷设公称直径(PE50、PE63mm)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CF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A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818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4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E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硬塑料管地埋敷设公称直径(PE75mm)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7A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5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7BD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F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BD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硬塑料管地埋敷设公称直径(PE75以上)</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35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F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2282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6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7A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砖、混凝土结构明配钢管</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B7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镀锌钢管敷设、固定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A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924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D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0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配管【镀锌钢管、紧定管、PE、PVC管暗配安装】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3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开槽、开孔，配管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A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482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A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C6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配管【镀锌钢管、紧定管、PE、PVC管明配安装】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AD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支架安装、开孔，配管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4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003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6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C9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接线盒安装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58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镀锌管连接用防爆接线盒</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1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868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3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8C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接地极(板)制作安装角钢接地极</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A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角钢接地安装、母线连接</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D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根</w:t>
            </w:r>
          </w:p>
        </w:tc>
      </w:tr>
      <w:tr w14:paraId="04A7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49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七</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B4B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配电</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CAF9">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A57A">
            <w:pPr>
              <w:jc w:val="center"/>
              <w:rPr>
                <w:rFonts w:hint="eastAsia" w:ascii="宋体" w:hAnsi="宋体" w:eastAsia="宋体" w:cs="宋体"/>
                <w:i w:val="0"/>
                <w:iCs w:val="0"/>
                <w:color w:val="000000"/>
                <w:sz w:val="21"/>
                <w:szCs w:val="21"/>
                <w:u w:val="none"/>
              </w:rPr>
            </w:pPr>
          </w:p>
        </w:tc>
      </w:tr>
      <w:tr w14:paraId="0E37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5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20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户外接线箱、电气箱基础开挖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D7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挖接线箱基础0.7*0.4*0.45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3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C33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E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3D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户外接线箱、电气箱基础制作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5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成品接线箱基础搬运、放平、填实</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2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45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5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1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90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箱体固定、校正。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9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C00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89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5E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挖开关箱基础0.97*0.68*0.8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F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5ED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7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5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58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开关箱基础砌筑（含砖约占体积2/3）（0.97*0.68*0.8）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8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4BF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E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7E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C7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开关箱安装固定、校正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3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F9E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D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71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壁挂式接线箱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B4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壁挂式接线箱安装固定、校正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B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9E9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6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9021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匝道预埋件</w:t>
            </w:r>
          </w:p>
        </w:tc>
        <w:tc>
          <w:tcPr>
            <w:tcW w:w="20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251D8">
            <w:pPr>
              <w:jc w:val="center"/>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B637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E49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B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E9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各类接线箱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05D9">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C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B45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EF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八</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632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手孔井及其他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2F11">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5312">
            <w:pPr>
              <w:jc w:val="center"/>
              <w:rPr>
                <w:rFonts w:hint="eastAsia" w:ascii="宋体" w:hAnsi="宋体" w:eastAsia="宋体" w:cs="宋体"/>
                <w:b/>
                <w:bCs/>
                <w:i w:val="0"/>
                <w:iCs w:val="0"/>
                <w:color w:val="000000"/>
                <w:sz w:val="21"/>
                <w:szCs w:val="21"/>
                <w:u w:val="none"/>
              </w:rPr>
            </w:pPr>
          </w:p>
        </w:tc>
      </w:tr>
      <w:tr w14:paraId="3AE2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6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2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Φ700手孔井（双砖）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6E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5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4FD6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4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9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400*600、500*500手孔井（单砖）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9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E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62AD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9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DD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800*800手孔井（双砖）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ED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C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6BF6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1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09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700*1000手孔井（双砖）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B6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挖坑、砌筑、内面找平、底部填砂、石子、转接盖板浇筑、放井盖、砂浆固定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7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1DA1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7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8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Φ700手孔井防盗填土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4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夯实填土（0.35²*3.14*0.98=0.377m3）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D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D44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0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61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400*600、500*500手孔井防盗填土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3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夯实填土（0.4*0.6*0.98=0.2352m3）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2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E10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F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12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800*800手孔井防盗填土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89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夯实填土（0.8*0.8*0.98=0.6272m3）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1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8FF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6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61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700*1000手孔井防盗填土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7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夯实填土（0.7*1.0*0.98=0.686m3）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2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88A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B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7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计日工</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B2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无计价科目用工，不含领料人工</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9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工日</w:t>
            </w:r>
          </w:p>
        </w:tc>
      </w:tr>
      <w:tr w14:paraId="582C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E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2C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压路机</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50C1">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3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52C2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5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53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领料（3吨载重汽车配备装卸人员）</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84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自备车辆、装卸人员                     管材600米/趟，基础20个/趟，电缆1500米/趟，开关箱1个/趟，向上取整，其他材料领用不计。退废旧材料按实计取。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4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趟</w:t>
            </w:r>
          </w:p>
        </w:tc>
      </w:tr>
      <w:tr w14:paraId="5AFF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C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1C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5KW汽油发电机组、雾炮机组</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7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自备发电机、辅材                             用于自用不计，如电镐用电。</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4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6F12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AEEB">
            <w:pPr>
              <w:jc w:val="center"/>
              <w:rPr>
                <w:rFonts w:hint="eastAsia" w:ascii="宋体" w:hAnsi="宋体" w:eastAsia="宋体" w:cs="宋体"/>
                <w:i w:val="0"/>
                <w:iCs w:val="0"/>
                <w:color w:val="000000"/>
                <w:sz w:val="21"/>
                <w:szCs w:val="21"/>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65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合   计</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8B11">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1074">
            <w:pPr>
              <w:jc w:val="center"/>
              <w:rPr>
                <w:rFonts w:hint="eastAsia" w:ascii="宋体" w:hAnsi="宋体" w:eastAsia="宋体" w:cs="宋体"/>
                <w:i w:val="0"/>
                <w:iCs w:val="0"/>
                <w:color w:val="000000"/>
                <w:sz w:val="21"/>
                <w:szCs w:val="21"/>
                <w:u w:val="none"/>
              </w:rPr>
            </w:pPr>
          </w:p>
        </w:tc>
      </w:tr>
    </w:tbl>
    <w:p w14:paraId="546E6E6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32"/>
          <w:szCs w:val="32"/>
          <w:highlight w:val="none"/>
          <w:lang w:val="en-US" w:eastAsia="zh-CN"/>
        </w:rPr>
      </w:pPr>
    </w:p>
    <w:p w14:paraId="2F8C504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说明：</w:t>
      </w:r>
    </w:p>
    <w:p w14:paraId="0784E73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注：高架桥面施工由于穿管难度较大，涉及PE管敷设的签证时单价*难度系数1.5。</w:t>
      </w: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1" w:fontKey="{8072F805-047D-4450-A784-8809EF3D064C}"/>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5642F3B"/>
    <w:rsid w:val="0A474911"/>
    <w:rsid w:val="0D8161AC"/>
    <w:rsid w:val="0F853815"/>
    <w:rsid w:val="160517E3"/>
    <w:rsid w:val="19715A02"/>
    <w:rsid w:val="1D181B85"/>
    <w:rsid w:val="1EEC5E02"/>
    <w:rsid w:val="27DA514D"/>
    <w:rsid w:val="288B1AAE"/>
    <w:rsid w:val="2AEB08D9"/>
    <w:rsid w:val="2B232846"/>
    <w:rsid w:val="2E6E06EF"/>
    <w:rsid w:val="30B82F68"/>
    <w:rsid w:val="32B365FD"/>
    <w:rsid w:val="32DE3658"/>
    <w:rsid w:val="3504098A"/>
    <w:rsid w:val="3A1D2DF8"/>
    <w:rsid w:val="3E120585"/>
    <w:rsid w:val="3E6B6375"/>
    <w:rsid w:val="40543AC0"/>
    <w:rsid w:val="41DF4FC2"/>
    <w:rsid w:val="427D5E28"/>
    <w:rsid w:val="43301127"/>
    <w:rsid w:val="44F77F36"/>
    <w:rsid w:val="44FC06F4"/>
    <w:rsid w:val="45D25F30"/>
    <w:rsid w:val="4BF96F84"/>
    <w:rsid w:val="4C1F6912"/>
    <w:rsid w:val="4D093284"/>
    <w:rsid w:val="4FFE214A"/>
    <w:rsid w:val="51F623D4"/>
    <w:rsid w:val="523D6910"/>
    <w:rsid w:val="55792523"/>
    <w:rsid w:val="63B1131B"/>
    <w:rsid w:val="63EB6C79"/>
    <w:rsid w:val="649A3D73"/>
    <w:rsid w:val="6A963323"/>
    <w:rsid w:val="6DA079C8"/>
    <w:rsid w:val="6DFB0BD1"/>
    <w:rsid w:val="704B7D8D"/>
    <w:rsid w:val="713779A1"/>
    <w:rsid w:val="7414365A"/>
    <w:rsid w:val="759002A4"/>
    <w:rsid w:val="77FA6829"/>
    <w:rsid w:val="7C7C095E"/>
    <w:rsid w:val="7E3314F0"/>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 w:type="character" w:customStyle="1" w:styleId="17">
    <w:name w:val="font11"/>
    <w:basedOn w:val="8"/>
    <w:qFormat/>
    <w:uiPriority w:val="0"/>
    <w:rPr>
      <w:rFonts w:hint="eastAsia" w:ascii="宋体" w:hAnsi="宋体" w:eastAsia="宋体" w:cs="宋体"/>
      <w:color w:val="000000"/>
      <w:sz w:val="18"/>
      <w:szCs w:val="18"/>
      <w:u w:val="none"/>
    </w:rPr>
  </w:style>
  <w:style w:type="character" w:customStyle="1" w:styleId="18">
    <w:name w:val="font51"/>
    <w:basedOn w:val="8"/>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3580</Words>
  <Characters>3940</Characters>
  <Lines>29</Lines>
  <Paragraphs>8</Paragraphs>
  <TotalTime>183</TotalTime>
  <ScaleCrop>false</ScaleCrop>
  <LinksUpToDate>false</LinksUpToDate>
  <CharactersWithSpaces>4540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2024-08-21T05:28:00Z</cp:lastPrinted>
  <dcterms:modified xsi:type="dcterms:W3CDTF">2024-12-03T09:38:47Z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F27E8DF9B29F411680FFFA0254901412_13</vt:lpwstr>
  </property>
</Properties>
</file>