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项目名称：常州市历史文化旅游综合开发项目-大观楼及止园建设工程施工总承包工程-古建部分专业分包工程—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湖石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</w:rPr>
        <w:t>采购</w:t>
      </w:r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0C824799"/>
    <w:rsid w:val="17C14FE9"/>
    <w:rsid w:val="19326790"/>
    <w:rsid w:val="760A374B"/>
    <w:rsid w:val="79B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许梦夏</cp:lastModifiedBy>
  <dcterms:modified xsi:type="dcterms:W3CDTF">2025-07-09T09:25:03Z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B7D611AE43854082BDF5677BCCBEEE15_11</vt:lpwstr>
  </property>
  <property fmtid="{D5CDD505-2E9C-101B-9397-08002B2CF9AE}" pid="4" name="KSOTemplateDocerSaveRecord">
    <vt:lpwstr>eyJoZGlkIjoiNzJlNzJiMTdlNmU0NTlkN2U0ZjRkMzdjMmQyZDhhZmMiLCJ1c2VySWQiOiIyNTI0ODE2MDYifQ==</vt:lpwstr>
  </property>
</Properties>
</file>